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/>
          <w:sz w:val="30"/>
          <w:szCs w:val="30"/>
        </w:rPr>
        <w:t>附件3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深圳市重点物流企业认定评分标准（综合型）</w:t>
      </w:r>
    </w:p>
    <w:p>
      <w:pPr>
        <w:jc w:val="center"/>
        <w:rPr>
          <w:rFonts w:hint="eastAsia" w:ascii="黑体" w:eastAsia="黑体"/>
          <w:b/>
          <w:sz w:val="24"/>
          <w:szCs w:val="24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61"/>
        <w:gridCol w:w="4328"/>
        <w:gridCol w:w="700"/>
        <w:gridCol w:w="500"/>
        <w:gridCol w:w="2780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一、基本条件（《深圳市重点物流企业认定管理办法》第六条）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基本内容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分值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评分标准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企业在深圳注册并具有独立法人资格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企业具有三年以上的物流运营时间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企业总资产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00万元以上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前两年每年主营物流业务收入所占比例不低于70%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符合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得</w:t>
            </w:r>
            <w:r>
              <w:rPr>
                <w:rFonts w:hint="eastAsia" w:ascii="仿宋_GB2312" w:eastAsia="仿宋_GB2312"/>
                <w:sz w:val="18"/>
                <w:szCs w:val="18"/>
              </w:rPr>
              <w:t>满分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企业未被列入市场监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、税务、海关、交通领域失信联合惩戒名单，在深圳市无重大道路交通安全责任事故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符合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得</w:t>
            </w:r>
            <w:r>
              <w:rPr>
                <w:rFonts w:hint="eastAsia" w:ascii="仿宋_GB2312" w:eastAsia="仿宋_GB2312"/>
                <w:sz w:val="18"/>
                <w:szCs w:val="18"/>
              </w:rPr>
              <w:t>满分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年经营收入超过1.5亿元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1.5亿元≤经营收入＜5亿元，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5亿元≤经营收入＜10亿元，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经营收入≥10亿元，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年经营收入超过1亿元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1亿元≤经营收入＜5亿元，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5亿元≤经营收入＜10亿元，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经营收入≥10亿元，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年利润总额不低于300万元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300万元≤利润＜500万元，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500万元≤利润＜1000万元，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利润≥1000万元，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年利润总额不低于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00万元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00万元≤利润＜500万元，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500万元≤利润＜1000万元，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利润≥1000万元，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年在本市交纳的增值税和企业所得税合计不低于200万元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200万元≤税额＜500万元，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500万元≤税额＜1000万元，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税额≥1000万元，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年在本市交纳的增值税和企业所得税合计不低于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00万元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00万元≤税额＜500万元，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500万元≤税额＜1000万元，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税额≥1000万元，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二、考核条件（《深圳市重点物流企业认定管理办法》第七条）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基本内容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分值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评分标准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企业部门经理及以上管理人员中本科以上学历占50%以上；大专以上学历职工占职工总数的20%以上（仅考核2019年）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两项条件各3分，满分6分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企业自有或协议租赁期在1年以上的运输工具总吨位不少于1000吨；自有或协议租赁期在1年以上的仓库面积不少于15000平方米（仅考核2019年）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两项条件各2分，满分4分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企业主要生产设施与设备具有一定先进性，须有自行开发或引进的物流管理信息系统，能与主要客户实现电子数据交换，信息共享，并能实现对物流活动的实时跟踪、信息反馈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具备先进物流管理信息系统的，得4分；不具备的，得0分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企业具有控股且拥有独立营业执照的物流服务分支机构不少于5个（仅考核2019年）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每个网点1分，满分5分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企业在深圳市、珠三角和全国具备一定的知名度和代表性，具有较高市场认同度和政府认同度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具备市级以上荣誉证明、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省级以上试点项目资质，每个得1分，满分4分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企业从事业务属于供应链管理、电子商务物流、物流金融服务、航运衍生服务等政府鼓励类行业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从事其中一类业务得1分，满分3分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企业拥有完善的运营管理制度、安全生产管理制度、应急措施、服务操作规程等现代企业管理制度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具备一项制度得1分，满分4分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合计得分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评审建议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备注：1.合计得分大于等于80分，建议通过；小于80分，建议不通过。</w:t>
      </w:r>
    </w:p>
    <w:p>
      <w:pPr>
        <w:spacing w:line="240" w:lineRule="exact"/>
        <w:ind w:firstLine="540" w:firstLineChars="3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2.基本条件有一条不符合的，即视为不通过，不进行打分。</w:t>
      </w:r>
    </w:p>
    <w:p>
      <w:pPr>
        <w:spacing w:line="240" w:lineRule="exact"/>
        <w:ind w:firstLine="540" w:firstLineChars="300"/>
        <w:rPr>
          <w:rFonts w:hint="eastAsia" w:ascii="仿宋_GB2312" w:hAnsi="宋体" w:eastAsia="仿宋_GB2312"/>
          <w:sz w:val="18"/>
          <w:szCs w:val="18"/>
        </w:rPr>
      </w:pPr>
    </w:p>
    <w:p>
      <w:pPr>
        <w:spacing w:line="240" w:lineRule="exact"/>
        <w:ind w:firstLine="540" w:firstLineChars="300"/>
        <w:rPr>
          <w:rFonts w:hint="eastAsia" w:ascii="仿宋_GB2312" w:hAnsi="宋体" w:eastAsia="仿宋_GB2312"/>
          <w:sz w:val="18"/>
          <w:szCs w:val="18"/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深圳市重点物流企业认定评分标准（技术服务型）</w:t>
      </w:r>
    </w:p>
    <w:p>
      <w:pPr>
        <w:jc w:val="center"/>
        <w:rPr>
          <w:rFonts w:hint="eastAsia" w:ascii="黑体" w:eastAsia="黑体"/>
          <w:b/>
          <w:sz w:val="18"/>
          <w:szCs w:val="18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4064"/>
        <w:gridCol w:w="680"/>
        <w:gridCol w:w="359"/>
        <w:gridCol w:w="2911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一、基本条件（《深圳市重点物流企业认定管理办法》第八条）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基本内容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分值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评分标准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企业在深圳注册并具有独立法人资格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企业具有三年以上的物流技术服务运营时间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企业总资产在1000万元以上，且资产负债率不得高于70%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前两年每年主营物流业务收入所占比例不低于80%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企业未被列入市场监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、税务、海关、交通领域失信联合惩戒名单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符合得满分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年经营收入超过1000万元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1000万元≤经营收入＜5000万元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,5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5000万元≤经营收入＜1亿元，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经营收入≥1亿元，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年经营收入超过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00万元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00万元≤经营收入＜5000万元，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5000万元≤经营收入＜1亿元，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经营收入≥1亿元，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年利润总额不低于150万元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150万元≤利润＜300万元，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300万元≤利润＜500万元，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利润≥500万元，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年利润总额不低于1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0万元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0万元≤利润＜300万元，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300万元≤利润＜500万元，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利润≥500万元，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2019年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在本市交纳的增值税和企业所得税合计不低于100万元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100万元≤税额＜200万元，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200万元≤税额＜300万元，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税额≥300万元，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在本市交纳的增值税和企业所得税合计不低于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0万元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0万元≤税额＜200万元，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200万元≤税额＜300万元，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税额≥300万元，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二、考核条件（《深圳市重点物流企业认定管理办法》第九条）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序号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基本内容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分值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评分标准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企业部门经理及以上管理人员中本科以上学历占50%以上，大专以上学历职工占职工总数的50%以上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（仅考核2019年）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两项条件各8分，满分16分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企业提供的物流信息管理系统服务或物流解决方案服务，在国内处于领先水平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具备先进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物流信息管理系统服务或物流解决方案服务的，得6分；</w:t>
            </w:r>
            <w:r>
              <w:rPr>
                <w:rFonts w:hint="eastAsia" w:ascii="仿宋_GB2312" w:eastAsia="仿宋_GB2312"/>
                <w:sz w:val="18"/>
                <w:szCs w:val="18"/>
              </w:rPr>
              <w:t>不具备的，得0分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企业在深圳市、珠三角和全国具备一定的知名度和代表性，具有较高的市场认同度和政府认同度，书面材料准备完整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具备市级以上荣誉证明、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省级以上试点项目资质，每个得1分，满分4分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企业从事业务属于供应链解决方案、电子商务物流、物流平台服务、物流新兴技术等政府鼓励类行业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从事其中一类业务得1分，满分4分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合计得分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评审建议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备注：1.合计得分大于等于80分，建议通过；小于80分，建议不通过。</w:t>
      </w:r>
    </w:p>
    <w:p>
      <w:pPr>
        <w:spacing w:line="240" w:lineRule="exact"/>
        <w:ind w:firstLine="540" w:firstLineChars="300"/>
        <w:rPr>
          <w:rFonts w:hint="eastAsia"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2.基本条件有一条不符合的，即视为不通过，不进行打分。</w:t>
      </w:r>
    </w:p>
    <w:p>
      <w:pPr>
        <w:spacing w:line="240" w:lineRule="exact"/>
        <w:rPr>
          <w:rFonts w:hint="eastAsia"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 xml:space="preserve">      </w:t>
      </w: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ind w:firstLine="6825" w:firstLineChars="3250"/>
      </w:pPr>
    </w:p>
    <w:sectPr>
      <w:pgSz w:w="11906" w:h="16838"/>
      <w:pgMar w:top="590" w:right="1406" w:bottom="59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0616"/>
    <w:rsid w:val="29922409"/>
    <w:rsid w:val="2D4707B4"/>
    <w:rsid w:val="38993602"/>
    <w:rsid w:val="46DC759A"/>
    <w:rsid w:val="53710616"/>
    <w:rsid w:val="53C03282"/>
    <w:rsid w:val="564A064F"/>
    <w:rsid w:val="613C2110"/>
    <w:rsid w:val="683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2021-03-09T02:05:00Z</dcterms:created>
  <dc:creator>张璞</dc:creator>
  <cp:lastModifiedBy>沈姑娘 </cp:lastModifiedBy>
  <dcterms:modified xsi:type="dcterms:W3CDTF">2021-04-09T03:46:09Z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